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rtl w:val="0"/>
        </w:rPr>
        <w:t xml:space="preserve">University of Kerala</w:t>
        <w:br w:type="textWrapping"/>
        <w:t xml:space="preserve">UoK -FYUGP</w:t>
        <w:br w:type="textWrapping"/>
        <w:t xml:space="preserve">Pedagogical Approaches and Evaluation - 2024 </w:t>
      </w:r>
      <w:r w:rsidDel="00000000" w:rsidR="00000000" w:rsidRPr="00000000">
        <w:rPr>
          <w:rtl w:val="0"/>
        </w:rPr>
      </w:r>
    </w:p>
    <w:tbl>
      <w:tblPr>
        <w:tblStyle w:val="Table1"/>
        <w:tblW w:w="7301.0" w:type="dxa"/>
        <w:jc w:val="left"/>
        <w:tblInd w:w="-15.0" w:type="dxa"/>
        <w:tblLayout w:type="fixed"/>
        <w:tblLook w:val="0400"/>
      </w:tblPr>
      <w:tblGrid>
        <w:gridCol w:w="4829"/>
        <w:gridCol w:w="36"/>
        <w:gridCol w:w="2436"/>
        <w:tblGridChange w:id="0">
          <w:tblGrid>
            <w:gridCol w:w="4829"/>
            <w:gridCol w:w="36"/>
            <w:gridCol w:w="2436"/>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2">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b w:val="1"/>
                <w:sz w:val="22"/>
                <w:szCs w:val="22"/>
                <w:rtl w:val="0"/>
              </w:rPr>
              <w:t xml:space="preserve">University of Kerala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5">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rtl w:val="0"/>
              </w:rPr>
              <w:t xml:space="preserve">Discipline: AEC English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6">
            <w:pPr>
              <w:spacing w:after="0" w:line="24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7">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rtl w:val="0"/>
              </w:rPr>
              <w:t xml:space="preserve">Time: 1 Hour (60 Mins)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8">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rtl w:val="0"/>
              </w:rPr>
              <w:t xml:space="preserve">Course Code: UK1AECENG107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9">
            <w:pPr>
              <w:spacing w:after="0" w:line="24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A">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rtl w:val="0"/>
              </w:rPr>
              <w:t xml:space="preserve">Total Marks: 28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B">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Course Title: Language for Developmental Studies 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C">
            <w:pPr>
              <w:spacing w:after="0" w:line="24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E">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Type of Course: AEC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F">
            <w:pPr>
              <w:spacing w:after="0" w:line="24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0">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1">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rtl w:val="0"/>
              </w:rPr>
              <w:t xml:space="preserve">Semester: 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2">
            <w:pPr>
              <w:spacing w:after="0" w:line="24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3">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4">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rtl w:val="0"/>
              </w:rPr>
              <w:t xml:space="preserve">Academic Level: 100-199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5">
            <w:pPr>
              <w:spacing w:after="0" w:line="24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6">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7">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Total Credit: 3, Theory: 2 Credit, Practical: 1 Credit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8">
            <w:pPr>
              <w:spacing w:after="0" w:line="24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9">
            <w:pPr>
              <w:spacing w:after="0" w:line="240" w:lineRule="auto"/>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1A">
      <w:pPr>
        <w:spacing w:after="280" w:before="280"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Part A. 4 Marks. Time: 5 Minutes Objective Type. 1 Mark Each. Answer All Questions (Cognitive Level: Remember/Understand) </w:t>
      </w:r>
      <w:r w:rsidDel="00000000" w:rsidR="00000000" w:rsidRPr="00000000">
        <w:rPr>
          <w:rtl w:val="0"/>
        </w:rPr>
      </w:r>
    </w:p>
    <w:p w:rsidR="00000000" w:rsidDel="00000000" w:rsidP="00000000" w:rsidRDefault="00000000" w:rsidRPr="00000000" w14:paraId="0000001B">
      <w:pPr>
        <w:spacing w:after="280" w:before="280" w:line="240" w:lineRule="auto"/>
        <w:rPr>
          <w:rFonts w:ascii="Times New Roman" w:cs="Times New Roman" w:eastAsia="Times New Roman" w:hAnsi="Times New Roman"/>
        </w:rPr>
      </w:pPr>
      <w:r w:rsidDel="00000000" w:rsidR="00000000" w:rsidRPr="00000000">
        <w:rPr>
          <w:rtl w:val="0"/>
        </w:rPr>
      </w:r>
    </w:p>
    <w:tbl>
      <w:tblPr>
        <w:tblStyle w:val="Table2"/>
        <w:tblW w:w="9056.0" w:type="dxa"/>
        <w:jc w:val="left"/>
        <w:tblInd w:w="-15.0" w:type="dxa"/>
        <w:tblLayout w:type="fixed"/>
        <w:tblLook w:val="0400"/>
      </w:tblPr>
      <w:tblGrid>
        <w:gridCol w:w="525"/>
        <w:gridCol w:w="5739"/>
        <w:gridCol w:w="1321"/>
        <w:gridCol w:w="1471"/>
        <w:tblGridChange w:id="0">
          <w:tblGrid>
            <w:gridCol w:w="525"/>
            <w:gridCol w:w="5739"/>
            <w:gridCol w:w="1321"/>
            <w:gridCol w:w="147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C">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b w:val="1"/>
                <w:sz w:val="22"/>
                <w:szCs w:val="22"/>
                <w:rtl w:val="0"/>
              </w:rPr>
              <w:t xml:space="preserve">Qn. No.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D">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b w:val="1"/>
                <w:sz w:val="22"/>
                <w:szCs w:val="22"/>
                <w:rtl w:val="0"/>
              </w:rPr>
              <w:t xml:space="preserve">Question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E">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b w:val="1"/>
                <w:sz w:val="22"/>
                <w:szCs w:val="22"/>
                <w:rtl w:val="0"/>
              </w:rPr>
              <w:t xml:space="preserve">Cognitive Level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F">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b w:val="1"/>
                <w:sz w:val="22"/>
                <w:szCs w:val="22"/>
                <w:rtl w:val="0"/>
              </w:rPr>
              <w:t xml:space="preserve">Course Outcome (CO)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0">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8"/>
                <w:szCs w:val="28"/>
                <w:rtl w:val="0"/>
              </w:rPr>
              <w:t xml:space="preserve">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Soapy’s main goal throughout “The Cop and the Anthem”?</w:t>
              <w:br w:type="textWrapping"/>
              <w:t xml:space="preserve">a) To get a job</w:t>
              <w:br w:type="textWrapping"/>
              <w:t xml:space="preserve">b) To travel to another city</w:t>
              <w:br w:type="textWrapping"/>
              <w:t xml:space="preserve">c) To be arrested and sent to jail for the winter</w:t>
              <w:br w:type="textWrapping"/>
              <w:t xml:space="preserve">d) To find food and shelter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2">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Remember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4">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8"/>
                <w:szCs w:val="28"/>
                <w:rtl w:val="0"/>
              </w:rPr>
              <w:t xml:space="preserve">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does Bacon advise regarding one’s diet in “Of Regiment of Health”?</w:t>
              <w:br w:type="textWrapping"/>
              <w:t xml:space="preserve">a) To eat whatever one desires.</w:t>
              <w:br w:type="textWrapping"/>
              <w:t xml:space="preserve">b) To maintain a balanced diet and avoid extremes.</w:t>
              <w:br w:type="textWrapping"/>
              <w:t xml:space="preserve">c) To fast regularly.</w:t>
              <w:br w:type="textWrapping"/>
              <w:t xml:space="preserve">d) To eat only once a day.</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6">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Remember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8"/>
                <w:szCs w:val="28"/>
                <w:rtl w:val="0"/>
              </w:rPr>
              <w:t xml:space="preserve">3.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realization does the speaker come to after observing the fish in Elizabeth Bishop’s “The Fish”?</w:t>
              <w:br w:type="textWrapping"/>
              <w:t xml:space="preserve">a) The fish is too small to keep.</w:t>
              <w:br w:type="textWrapping"/>
              <w:t xml:space="preserve">b) The fish represents resilience and survival.</w:t>
              <w:br w:type="textWrapping"/>
              <w:t xml:space="preserve">c) The fish is injured and dying.</w:t>
              <w:br w:type="textWrapping"/>
              <w:t xml:space="preserve">d) The fish is eager to escape.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A">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Understand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C">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8"/>
                <w:szCs w:val="28"/>
                <w:rtl w:val="0"/>
              </w:rPr>
              <w:t xml:space="preserve">4.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primary message does Leonardo DiCaprio convey in his “Protecting our Planet” speech regarding climate change?</w:t>
              <w:br w:type="textWrapping"/>
              <w:t xml:space="preserve">a) The need for technological advancements to solve climate issues.</w:t>
              <w:br w:type="textWrapping"/>
              <w:t xml:space="preserve">b) The importance of reducing meat consumption in combating climate change.</w:t>
              <w:br w:type="textWrapping"/>
              <w:t xml:space="preserve">c) The urgent need for global cooperation and policy change to address climate issues.</w:t>
              <w:br w:type="textWrapping"/>
              <w:t xml:space="preserve">d) The idea that climate change is a natural cycle and does not require immediate action.</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E">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Understand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bl>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spacing w:after="280" w:before="280"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Part B. 8 Marks. Time: 15 Minutes</w:t>
        <w:br w:type="textWrapping"/>
        <w:t xml:space="preserve">Short Answer. 2 Marks Each. Answer All Questions (Cognitive Level: Understand/Apply) </w:t>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bl>
      <w:tblPr>
        <w:tblStyle w:val="Table3"/>
        <w:tblW w:w="9056.0" w:type="dxa"/>
        <w:jc w:val="left"/>
        <w:tblInd w:w="-15.0" w:type="dxa"/>
        <w:tblLayout w:type="fixed"/>
        <w:tblLook w:val="0400"/>
      </w:tblPr>
      <w:tblGrid>
        <w:gridCol w:w="479"/>
        <w:gridCol w:w="5995"/>
        <w:gridCol w:w="1267"/>
        <w:gridCol w:w="1315"/>
        <w:tblGridChange w:id="0">
          <w:tblGrid>
            <w:gridCol w:w="479"/>
            <w:gridCol w:w="5995"/>
            <w:gridCol w:w="1267"/>
            <w:gridCol w:w="131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3">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b w:val="1"/>
                <w:sz w:val="22"/>
                <w:szCs w:val="22"/>
                <w:rtl w:val="0"/>
              </w:rPr>
              <w:t xml:space="preserve">Qn. No.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4">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b w:val="1"/>
                <w:sz w:val="22"/>
                <w:szCs w:val="22"/>
                <w:rtl w:val="0"/>
              </w:rPr>
              <w:t xml:space="preserve">Question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5">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b w:val="1"/>
                <w:sz w:val="22"/>
                <w:szCs w:val="22"/>
                <w:rtl w:val="0"/>
              </w:rPr>
              <w:t xml:space="preserve">Cognitive Level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6">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b w:val="1"/>
                <w:sz w:val="22"/>
                <w:szCs w:val="22"/>
                <w:rtl w:val="0"/>
              </w:rPr>
              <w:t xml:space="preserve">Course Outcome (CO)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7">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8"/>
                <w:szCs w:val="28"/>
                <w:rtl w:val="0"/>
              </w:rPr>
              <w:t xml:space="preserve">5.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“The Pedestrian,” how does Leonard Mead’s behaviour contrast with the rest of the society, and what does this contrast suggest about Bradbury’s message on conformity?</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9">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Understand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B">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8"/>
                <w:szCs w:val="28"/>
                <w:rtl w:val="0"/>
              </w:rPr>
              <w:t xml:space="preserve">6.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does Thomas Hood depict the hardships faced by the woman in “The Song of the Shirt”?</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D">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Understand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F">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8"/>
                <w:szCs w:val="28"/>
                <w:rtl w:val="0"/>
              </w:rPr>
              <w:t xml:space="preserve">7.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can the metaphor of the guest house help a person deal with unexpected emotions?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1">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Apply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3">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8"/>
                <w:szCs w:val="28"/>
                <w:rtl w:val="0"/>
              </w:rPr>
              <w:t xml:space="preserve">8.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what ways could the idea of the Anthropocene influence conservation efforts in natural habitats?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5">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Apply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w:t>
            </w:r>
          </w:p>
        </w:tc>
      </w:tr>
    </w:tbl>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spacing w:after="280" w:before="280"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Part C. 16 Marks. Time: 40 Minutes</w:t>
        <w:br w:type="textWrapping"/>
        <w:t xml:space="preserve">Long Answer. 4 Marks Each. Answer all 4 Questions, choosing among options within each question. </w:t>
      </w:r>
      <w:r w:rsidDel="00000000" w:rsidR="00000000" w:rsidRPr="00000000">
        <w:rPr>
          <w:rtl w:val="0"/>
        </w:rPr>
      </w:r>
    </w:p>
    <w:p w:rsidR="00000000" w:rsidDel="00000000" w:rsidP="00000000" w:rsidRDefault="00000000" w:rsidRPr="00000000" w14:paraId="00000049">
      <w:pPr>
        <w:spacing w:after="280" w:before="280"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(Cognitive Level: Apply/Analyse/Evaluate/Create).</w:t>
      </w: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bl>
      <w:tblPr>
        <w:tblStyle w:val="Table4"/>
        <w:tblW w:w="9056.0" w:type="dxa"/>
        <w:jc w:val="left"/>
        <w:tblInd w:w="-15.0" w:type="dxa"/>
        <w:tblLayout w:type="fixed"/>
        <w:tblLook w:val="0400"/>
      </w:tblPr>
      <w:tblGrid>
        <w:gridCol w:w="460"/>
        <w:gridCol w:w="6343"/>
        <w:gridCol w:w="1088"/>
        <w:gridCol w:w="1165"/>
        <w:tblGridChange w:id="0">
          <w:tblGrid>
            <w:gridCol w:w="460"/>
            <w:gridCol w:w="6343"/>
            <w:gridCol w:w="1088"/>
            <w:gridCol w:w="116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B">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b w:val="1"/>
                <w:sz w:val="22"/>
                <w:szCs w:val="22"/>
                <w:rtl w:val="0"/>
              </w:rPr>
              <w:t xml:space="preserve">Qn. No.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C">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b w:val="1"/>
                <w:sz w:val="22"/>
                <w:szCs w:val="22"/>
                <w:rtl w:val="0"/>
              </w:rPr>
              <w:t xml:space="preserve">Question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D">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b w:val="1"/>
                <w:sz w:val="22"/>
                <w:szCs w:val="22"/>
                <w:rtl w:val="0"/>
              </w:rPr>
              <w:t xml:space="preserve">Cognitive Level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E">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b w:val="1"/>
                <w:sz w:val="22"/>
                <w:szCs w:val="22"/>
                <w:rtl w:val="0"/>
              </w:rPr>
              <w:t xml:space="preserve">Course Outcome (CO)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F">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8"/>
                <w:szCs w:val="28"/>
                <w:rtl w:val="0"/>
              </w:rPr>
              <w:t xml:space="preserve">9.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might Soapy’s situation in “The Cop and the Anthem” relate to modern-day homelessness?</w:t>
            </w:r>
          </w:p>
          <w:p w:rsidR="00000000" w:rsidDel="00000000" w:rsidP="00000000" w:rsidRDefault="00000000" w:rsidRPr="00000000" w14:paraId="0000005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w:t>
            </w:r>
          </w:p>
          <w:p w:rsidR="00000000" w:rsidDel="00000000" w:rsidP="00000000" w:rsidRDefault="00000000" w:rsidRPr="00000000" w14:paraId="0000005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 the struggles faced by the woman in “The Song of the Shirt” reflect the conditions of low-wage workers in today’s industries?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3">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Apply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5">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8"/>
                <w:szCs w:val="28"/>
                <w:rtl w:val="0"/>
              </w:rPr>
              <w:t xml:space="preserve">10.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Analyze how Bishop uses sensory imagery in “The Fish” to evoke emotions in the reader.</w:t>
            </w:r>
          </w:p>
          <w:p w:rsidR="00000000" w:rsidDel="00000000" w:rsidP="00000000" w:rsidRDefault="00000000" w:rsidRPr="00000000" w14:paraId="0000005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w:t>
            </w:r>
          </w:p>
          <w:p w:rsidR="00000000" w:rsidDel="00000000" w:rsidP="00000000" w:rsidRDefault="00000000" w:rsidRPr="00000000" w14:paraId="0000005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Analyze the significance of the setting in "The Pedestrian." How does Bradbury use the description of the city to enhance the themes of isolation and conformity?</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9">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Analyze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B">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8"/>
                <w:szCs w:val="28"/>
                <w:rtl w:val="0"/>
              </w:rPr>
              <w:t xml:space="preserve">11.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Evaluate the effectiveness of Bacon’s advice on maintaining balance between labour and rest in preserving one's health.</w:t>
            </w:r>
          </w:p>
          <w:p w:rsidR="00000000" w:rsidDel="00000000" w:rsidP="00000000" w:rsidRDefault="00000000" w:rsidRPr="00000000" w14:paraId="0000005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w:t>
            </w:r>
          </w:p>
          <w:p w:rsidR="00000000" w:rsidDel="00000000" w:rsidP="00000000" w:rsidRDefault="00000000" w:rsidRPr="00000000" w14:paraId="0000005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Evaluate Rumi’s advice to welcome and entertain all emotions.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F">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Evaluate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1">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8"/>
                <w:szCs w:val="28"/>
                <w:rtl w:val="0"/>
              </w:rPr>
              <w:t xml:space="preserve">12.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Design a public awareness campaign inspired by DiCaprio’s call to action in “Protecting Our Planet.” Describe the campaign’s objectives, key messages, and the platforms you would use to reach your audience, along with a creative slogan that encapsulates the campaign’s mission.</w:t>
            </w:r>
          </w:p>
          <w:p w:rsidR="00000000" w:rsidDel="00000000" w:rsidP="00000000" w:rsidRDefault="00000000" w:rsidRPr="00000000" w14:paraId="0000006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w:t>
            </w:r>
          </w:p>
          <w:p w:rsidR="00000000" w:rsidDel="00000000" w:rsidP="00000000" w:rsidRDefault="00000000" w:rsidRPr="00000000" w14:paraId="0000006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Create a visual timeline that illustrates the major geological epochs leading up to the Anthropocene. Include significant human activities or events that mark the transition to the Anthropocene, based on the evidence provided in the article “The Anthropocene: A New Epoch of Geological Time?”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5">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Create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r>
    </w:tbl>
    <w:p w:rsidR="00000000" w:rsidDel="00000000" w:rsidP="00000000" w:rsidRDefault="00000000" w:rsidRPr="00000000" w14:paraId="00000067">
      <w:pPr>
        <w:spacing w:after="280" w:before="280" w:line="240" w:lineRule="auto"/>
        <w:rPr>
          <w:rFonts w:ascii="Times New Roman" w:cs="Times New Roman" w:eastAsia="Times New Roman" w:hAnsi="Times New Roman"/>
        </w:rPr>
      </w:pPr>
      <w:r w:rsidDel="00000000" w:rsidR="00000000" w:rsidRPr="00000000">
        <w:rPr>
          <w:rtl w:val="0"/>
        </w:rPr>
      </w:r>
    </w:p>
    <w:tbl>
      <w:tblPr>
        <w:tblStyle w:val="Table5"/>
        <w:tblW w:w="3402.0000000000005" w:type="dxa"/>
        <w:jc w:val="left"/>
        <w:tblInd w:w="-15.0" w:type="dxa"/>
        <w:tblLayout w:type="fixed"/>
        <w:tblLook w:val="0400"/>
      </w:tblPr>
      <w:tblGrid>
        <w:gridCol w:w="1569"/>
        <w:gridCol w:w="667"/>
        <w:gridCol w:w="1166"/>
        <w:tblGridChange w:id="0">
          <w:tblGrid>
            <w:gridCol w:w="1569"/>
            <w:gridCol w:w="667"/>
            <w:gridCol w:w="116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8">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b w:val="1"/>
                <w:sz w:val="22"/>
                <w:szCs w:val="22"/>
                <w:rtl w:val="0"/>
              </w:rPr>
              <w:t xml:space="preserve">Cognitive Level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9">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b w:val="1"/>
                <w:sz w:val="22"/>
                <w:szCs w:val="22"/>
                <w:rtl w:val="0"/>
              </w:rPr>
              <w:t xml:space="preserve">Marks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A">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b w:val="1"/>
                <w:sz w:val="22"/>
                <w:szCs w:val="22"/>
                <w:rtl w:val="0"/>
              </w:rPr>
              <w:t xml:space="preserve">Percentage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B">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Remember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C">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D">
            <w:pPr>
              <w:spacing w:line="240" w:lineRule="auto"/>
              <w:rPr>
                <w:rFonts w:ascii="Times New Roman" w:cs="Times New Roman" w:eastAsia="Times New Roman" w:hAnsi="Times New Roman"/>
              </w:rPr>
            </w:pPr>
            <w:r w:rsidDel="00000000" w:rsidR="00000000" w:rsidRPr="00000000">
              <w:rPr>
                <w:rFonts w:ascii="Verdana" w:cs="Verdana" w:eastAsia="Verdana" w:hAnsi="Verdana"/>
                <w:sz w:val="22"/>
                <w:szCs w:val="22"/>
                <w:rtl w:val="0"/>
              </w:rPr>
              <w:t xml:space="preserve">7.1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E">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Understand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F">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6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0">
            <w:pPr>
              <w:spacing w:line="240" w:lineRule="auto"/>
              <w:rPr>
                <w:rFonts w:ascii="Times New Roman" w:cs="Times New Roman" w:eastAsia="Times New Roman" w:hAnsi="Times New Roman"/>
              </w:rPr>
            </w:pPr>
            <w:r w:rsidDel="00000000" w:rsidR="00000000" w:rsidRPr="00000000">
              <w:rPr>
                <w:rFonts w:ascii="Verdana" w:cs="Verdana" w:eastAsia="Verdana" w:hAnsi="Verdana"/>
                <w:sz w:val="22"/>
                <w:szCs w:val="22"/>
                <w:rtl w:val="0"/>
              </w:rPr>
              <w:t xml:space="preserve">21.4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1">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Apply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2">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8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3">
            <w:pPr>
              <w:spacing w:line="240" w:lineRule="auto"/>
              <w:rPr>
                <w:rFonts w:ascii="Times New Roman" w:cs="Times New Roman" w:eastAsia="Times New Roman" w:hAnsi="Times New Roman"/>
              </w:rPr>
            </w:pPr>
            <w:r w:rsidDel="00000000" w:rsidR="00000000" w:rsidRPr="00000000">
              <w:rPr>
                <w:rFonts w:ascii="Verdana" w:cs="Verdana" w:eastAsia="Verdana" w:hAnsi="Verdana"/>
                <w:sz w:val="22"/>
                <w:szCs w:val="22"/>
                <w:rtl w:val="0"/>
              </w:rPr>
              <w:t xml:space="preserve">28.6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4">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Analyse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5">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4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6">
            <w:pPr>
              <w:spacing w:line="240" w:lineRule="auto"/>
              <w:rPr>
                <w:rFonts w:ascii="Times New Roman" w:cs="Times New Roman" w:eastAsia="Times New Roman" w:hAnsi="Times New Roman"/>
              </w:rPr>
            </w:pPr>
            <w:r w:rsidDel="00000000" w:rsidR="00000000" w:rsidRPr="00000000">
              <w:rPr>
                <w:rFonts w:ascii="Verdana" w:cs="Verdana" w:eastAsia="Verdana" w:hAnsi="Verdana"/>
                <w:sz w:val="22"/>
                <w:szCs w:val="22"/>
                <w:rtl w:val="0"/>
              </w:rPr>
              <w:t xml:space="preserve">14.3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7">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Evaluate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8">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4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9">
            <w:pPr>
              <w:spacing w:line="240" w:lineRule="auto"/>
              <w:rPr>
                <w:rFonts w:ascii="Times New Roman" w:cs="Times New Roman" w:eastAsia="Times New Roman" w:hAnsi="Times New Roman"/>
              </w:rPr>
            </w:pPr>
            <w:r w:rsidDel="00000000" w:rsidR="00000000" w:rsidRPr="00000000">
              <w:rPr>
                <w:rFonts w:ascii="Verdana" w:cs="Verdana" w:eastAsia="Verdana" w:hAnsi="Verdana"/>
                <w:sz w:val="22"/>
                <w:szCs w:val="22"/>
                <w:rtl w:val="0"/>
              </w:rPr>
              <w:t xml:space="preserve">14.3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A">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Create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B">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sz w:val="22"/>
                <w:szCs w:val="22"/>
                <w:rtl w:val="0"/>
              </w:rPr>
              <w:t xml:space="preserve">4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C">
            <w:pPr>
              <w:spacing w:line="240" w:lineRule="auto"/>
              <w:rPr>
                <w:rFonts w:ascii="Times New Roman" w:cs="Times New Roman" w:eastAsia="Times New Roman" w:hAnsi="Times New Roman"/>
              </w:rPr>
            </w:pPr>
            <w:r w:rsidDel="00000000" w:rsidR="00000000" w:rsidRPr="00000000">
              <w:rPr>
                <w:rFonts w:ascii="Verdana" w:cs="Verdana" w:eastAsia="Verdana" w:hAnsi="Verdana"/>
                <w:sz w:val="22"/>
                <w:szCs w:val="22"/>
                <w:rtl w:val="0"/>
              </w:rPr>
              <w:t xml:space="preserve">14.3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line="240" w:lineRule="auto"/>
              <w:rPr>
                <w:rFonts w:ascii="Times New Roman" w:cs="Times New Roman" w:eastAsia="Times New Roman" w:hAnsi="Times New Roman"/>
              </w:rPr>
            </w:pPr>
            <w:r w:rsidDel="00000000" w:rsidR="00000000" w:rsidRPr="00000000">
              <w:rPr>
                <w:rFonts w:ascii="LiberationSerif" w:cs="LiberationSerif" w:eastAsia="LiberationSerif" w:hAnsi="LiberationSerif"/>
                <w:b w:val="1"/>
                <w:sz w:val="22"/>
                <w:szCs w:val="22"/>
                <w:rtl w:val="0"/>
              </w:rPr>
              <w:t xml:space="preserve">TOTAL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E">
            <w:pPr>
              <w:spacing w:line="240" w:lineRule="auto"/>
              <w:rPr>
                <w:rFonts w:ascii="Times New Roman" w:cs="Times New Roman" w:eastAsia="Times New Roman" w:hAnsi="Times New Roman"/>
              </w:rPr>
            </w:pPr>
            <w:r w:rsidDel="00000000" w:rsidR="00000000" w:rsidRPr="00000000">
              <w:rPr>
                <w:rFonts w:ascii="Verdana" w:cs="Verdana" w:eastAsia="Verdana" w:hAnsi="Verdana"/>
                <w:sz w:val="22"/>
                <w:szCs w:val="22"/>
                <w:rtl w:val="0"/>
              </w:rPr>
              <w:t xml:space="preserve">28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line="240" w:lineRule="auto"/>
              <w:rPr>
                <w:rFonts w:ascii="Times New Roman" w:cs="Times New Roman" w:eastAsia="Times New Roman" w:hAnsi="Times New Roman"/>
              </w:rPr>
            </w:pPr>
            <w:r w:rsidDel="00000000" w:rsidR="00000000" w:rsidRPr="00000000">
              <w:rPr>
                <w:rFonts w:ascii="Verdana" w:cs="Verdana" w:eastAsia="Verdana" w:hAnsi="Verdana"/>
                <w:sz w:val="22"/>
                <w:szCs w:val="22"/>
                <w:rtl w:val="0"/>
              </w:rPr>
              <w:t xml:space="preserve">100.0 </w:t>
            </w:r>
            <w:r w:rsidDel="00000000" w:rsidR="00000000" w:rsidRPr="00000000">
              <w:rPr>
                <w:rtl w:val="0"/>
              </w:rPr>
            </w:r>
          </w:p>
        </w:tc>
      </w:tr>
    </w:tbl>
    <w:p w:rsidR="00000000" w:rsidDel="00000000" w:rsidP="00000000" w:rsidRDefault="00000000" w:rsidRPr="00000000" w14:paraId="00000080">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Verdana"/>
  <w:font w:name="Aptos"/>
  <w:font w:name="Play">
    <w:embedRegular w:fontKey="{00000000-0000-0000-0000-000000000000}" r:id="rId1" w:subsetted="0"/>
    <w:embedBold w:fontKey="{00000000-0000-0000-0000-000000000000}" r:id="rId2" w:subsetted="0"/>
  </w:font>
  <w:font w:name="Liberation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IN"/>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aosXCqQvQDVSDDElnlrgO12Mg==">CgMxLjA4AHIhMXNhRmxiMGwycDV5aVZ6aWZIU1dJbU1lZXhuZXltaVg4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